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DF" w:rsidRPr="00ED1A61" w:rsidRDefault="00A41DDF" w:rsidP="00A41DDF">
      <w:pPr>
        <w:spacing w:before="240" w:after="240" w:line="264" w:lineRule="auto"/>
        <w:jc w:val="center"/>
        <w:rPr>
          <w:rFonts w:ascii="Ecofont Vera Sans" w:hAnsi="Ecofont Vera Sans"/>
          <w:b/>
          <w:color w:val="000000"/>
          <w:sz w:val="24"/>
        </w:rPr>
      </w:pPr>
      <w:bookmarkStart w:id="0" w:name="_GoBack"/>
      <w:bookmarkEnd w:id="0"/>
      <w:r w:rsidRPr="00D9084E">
        <w:rPr>
          <w:rFonts w:ascii="Ecofont Vera Sans" w:hAnsi="Ecofont Vera Sans" w:cs="DejaVu Sans,Bold"/>
          <w:b/>
          <w:bCs/>
          <w:color w:val="000000"/>
          <w:sz w:val="24"/>
          <w:szCs w:val="24"/>
        </w:rPr>
        <w:t>RESOLUÇÃO nº &lt;@INDICADOR=Numero&gt;</w:t>
      </w:r>
    </w:p>
    <w:p w:rsidR="00A41DDF" w:rsidRPr="00ED1A61" w:rsidRDefault="00A41DDF" w:rsidP="00A41DDF">
      <w:pPr>
        <w:spacing w:before="240" w:after="240" w:line="264" w:lineRule="auto"/>
        <w:jc w:val="both"/>
        <w:rPr>
          <w:rFonts w:ascii="Ecofont Vera Sans" w:hAnsi="Ecofont Vera Sans"/>
          <w:b/>
          <w:color w:val="000000"/>
          <w:sz w:val="24"/>
        </w:rPr>
      </w:pPr>
    </w:p>
    <w:p w:rsidR="00A41DDF" w:rsidRPr="00ED1A61" w:rsidRDefault="00A41DDF" w:rsidP="00A41DDF">
      <w:pPr>
        <w:spacing w:before="240" w:after="240" w:line="264" w:lineRule="auto"/>
        <w:ind w:left="3969"/>
        <w:jc w:val="both"/>
        <w:rPr>
          <w:rFonts w:ascii="Ecofont Vera Sans" w:hAnsi="Ecofont Vera Sans"/>
          <w:i/>
          <w:color w:val="000000"/>
        </w:rPr>
      </w:pPr>
      <w:r>
        <w:rPr>
          <w:rFonts w:ascii="Ecofont Vera Sans" w:hAnsi="Ecofont Vera Sans" w:cs="DejaVu Sans,Italic"/>
          <w:i/>
          <w:iCs/>
          <w:color w:val="000000"/>
          <w:szCs w:val="24"/>
        </w:rPr>
        <w:t>Introduz alterações na Resolução</w:t>
      </w:r>
      <w:r w:rsidR="00B160CE">
        <w:rPr>
          <w:rFonts w:ascii="Ecofont Vera Sans" w:hAnsi="Ecofont Vera Sans" w:cs="DejaVu Sans,Italic"/>
          <w:i/>
          <w:iCs/>
          <w:color w:val="000000"/>
          <w:szCs w:val="24"/>
        </w:rPr>
        <w:t xml:space="preserve"> Normativa</w:t>
      </w:r>
      <w:r>
        <w:rPr>
          <w:rFonts w:ascii="Ecofont Vera Sans" w:hAnsi="Ecofont Vera Sans" w:cs="DejaVu Sans,Italic"/>
          <w:i/>
          <w:iCs/>
          <w:color w:val="000000"/>
          <w:szCs w:val="24"/>
        </w:rPr>
        <w:t xml:space="preserve"> nº 11/2012 e dá outras providências.</w:t>
      </w:r>
    </w:p>
    <w:p w:rsidR="00A41DDF" w:rsidRDefault="00A41DDF" w:rsidP="00A41DDF">
      <w:pPr>
        <w:spacing w:before="240" w:after="240" w:line="264" w:lineRule="auto"/>
        <w:jc w:val="both"/>
        <w:rPr>
          <w:rFonts w:ascii="Ecofont Vera Sans" w:hAnsi="Ecofont Vera Sans" w:cs="DejaVu Sans"/>
          <w:color w:val="000000"/>
          <w:sz w:val="24"/>
          <w:szCs w:val="24"/>
        </w:rPr>
      </w:pPr>
    </w:p>
    <w:p w:rsidR="00A41DDF" w:rsidRPr="00ED1A61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 xml:space="preserve">O </w:t>
      </w:r>
      <w:r w:rsidRPr="00ED1A61">
        <w:rPr>
          <w:rFonts w:ascii="Ecofont Vera Sans" w:hAnsi="Ecofont Vera Sans"/>
          <w:b/>
          <w:color w:val="000000"/>
          <w:sz w:val="24"/>
        </w:rPr>
        <w:t>TRIBUNAL DE CONTAS DO ESTADO DE GOIÁS</w:t>
      </w:r>
      <w:r w:rsidRPr="00ED1A61">
        <w:rPr>
          <w:rFonts w:ascii="Ecofont Vera Sans" w:hAnsi="Ecofont Vera Sans"/>
          <w:color w:val="000000"/>
          <w:sz w:val="24"/>
        </w:rPr>
        <w:t xml:space="preserve">, no uso de suas atribuições constitucionais e legais, </w:t>
      </w:r>
      <w:r w:rsidR="00925E19" w:rsidRPr="00925E19">
        <w:rPr>
          <w:rFonts w:ascii="Ecofont Vera Sans" w:hAnsi="Ecofont Vera Sans"/>
          <w:color w:val="000000"/>
          <w:sz w:val="24"/>
        </w:rPr>
        <w:t>especialmente nos termos do</w:t>
      </w:r>
      <w:r w:rsidRPr="00ED1A61">
        <w:rPr>
          <w:rFonts w:ascii="Ecofont Vera Sans" w:hAnsi="Ecofont Vera Sans"/>
          <w:color w:val="000000"/>
          <w:sz w:val="24"/>
        </w:rPr>
        <w:t xml:space="preserve"> art. 2º da LOTCE-GO e arts. 3º e 156, I, de seu Regimento </w:t>
      </w:r>
      <w:r w:rsidR="00925E19" w:rsidRPr="00925E19">
        <w:rPr>
          <w:rFonts w:ascii="Ecofont Vera Sans" w:hAnsi="Ecofont Vera Sans"/>
          <w:color w:val="000000"/>
          <w:sz w:val="24"/>
        </w:rPr>
        <w:t>Interno (RITCE-GO),</w:t>
      </w:r>
      <w:r w:rsidR="00925E19">
        <w:rPr>
          <w:rFonts w:ascii="Ecofont Vera Sans" w:hAnsi="Ecofont Vera Sans"/>
          <w:color w:val="000000"/>
          <w:sz w:val="24"/>
        </w:rPr>
        <w:t xml:space="preserve"> resolve:</w:t>
      </w:r>
    </w:p>
    <w:p w:rsidR="00A41DDF" w:rsidRDefault="00A41DDF" w:rsidP="00A41DDF">
      <w:pPr>
        <w:spacing w:before="240" w:after="240" w:line="264" w:lineRule="auto"/>
        <w:jc w:val="both"/>
        <w:rPr>
          <w:rFonts w:ascii="Ecofont Vera Sans" w:hAnsi="Ecofont Vera Sans"/>
          <w:b/>
          <w:color w:val="000000"/>
          <w:sz w:val="24"/>
        </w:rPr>
      </w:pPr>
    </w:p>
    <w:p w:rsidR="00925E19" w:rsidRPr="00ED1A61" w:rsidRDefault="00925E19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b/>
          <w:color w:val="000000"/>
          <w:sz w:val="24"/>
        </w:rPr>
        <w:t>Art. 1º</w:t>
      </w:r>
      <w:r w:rsidR="00ED1A61">
        <w:rPr>
          <w:rFonts w:ascii="Ecofont Vera Sans" w:hAnsi="Ecofont Vera Sans"/>
          <w:color w:val="000000"/>
          <w:sz w:val="24"/>
        </w:rPr>
        <w:t xml:space="preserve">. </w:t>
      </w:r>
      <w:r w:rsidRPr="00925E19">
        <w:rPr>
          <w:rFonts w:ascii="Ecofont Vera Sans" w:hAnsi="Ecofont Vera Sans"/>
          <w:color w:val="000000"/>
          <w:sz w:val="24"/>
        </w:rPr>
        <w:t>A Resolução nº 11 de 2012, passa a vigorar com as alterações e os acréscimos que se seguem:</w:t>
      </w:r>
    </w:p>
    <w:p w:rsidR="00A41DDF" w:rsidRPr="00ED1A61" w:rsidRDefault="00925E19" w:rsidP="00925E19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>“</w:t>
      </w:r>
      <w:r w:rsidR="00A41DDF" w:rsidRPr="00ED1A61">
        <w:rPr>
          <w:rFonts w:ascii="Ecofont Vera Sans" w:hAnsi="Ecofont Vera Sans"/>
          <w:color w:val="000000"/>
          <w:sz w:val="24"/>
        </w:rPr>
        <w:t>Art. 3º Para efeito de inclusão das informações relativas às</w:t>
      </w:r>
      <w:r w:rsidR="005C4661">
        <w:rPr>
          <w:rFonts w:ascii="Ecofont Vera Sans" w:hAnsi="Ecofont Vera Sans"/>
          <w:color w:val="000000"/>
          <w:sz w:val="24"/>
        </w:rPr>
        <w:t xml:space="preserve"> </w:t>
      </w:r>
      <w:r w:rsidR="00A41DDF" w:rsidRPr="00ED1A61">
        <w:rPr>
          <w:rFonts w:ascii="Ecofont Vera Sans" w:hAnsi="Ecofont Vera Sans"/>
          <w:color w:val="000000"/>
          <w:sz w:val="24"/>
        </w:rPr>
        <w:t xml:space="preserve">admissões de pessoal </w:t>
      </w:r>
      <w:r w:rsidR="00AF7E88">
        <w:rPr>
          <w:rFonts w:ascii="Ecofont Vera Sans" w:hAnsi="Ecofont Vera Sans"/>
          <w:color w:val="000000"/>
          <w:sz w:val="24"/>
        </w:rPr>
        <w:t>no</w:t>
      </w:r>
      <w:r w:rsidR="00A41DDF" w:rsidRPr="00ED1A61">
        <w:rPr>
          <w:rFonts w:ascii="Ecofont Vera Sans" w:hAnsi="Ecofont Vera Sans"/>
          <w:color w:val="000000"/>
          <w:sz w:val="24"/>
        </w:rPr>
        <w:t xml:space="preserve"> Sistema Grad, acessado por meio do portal </w:t>
      </w:r>
      <w:r w:rsidR="00A41DDF" w:rsidRPr="00ED1A61">
        <w:rPr>
          <w:rFonts w:ascii="Ecofont Vera Sans" w:hAnsi="Ecofont Vera Sans" w:cs="DejaVu Sans"/>
          <w:sz w:val="24"/>
          <w:szCs w:val="24"/>
        </w:rPr>
        <w:t xml:space="preserve">TCENet, é obrigatório o cadastramento prévio dos servidores e das autoridades administrativas, para efeito de geração de </w:t>
      </w:r>
      <w:r w:rsidR="00A41DDF" w:rsidRPr="00ED1A61">
        <w:rPr>
          <w:rFonts w:ascii="Ecofont Vera Sans" w:hAnsi="Ecofont Vera Sans"/>
          <w:i/>
          <w:sz w:val="24"/>
        </w:rPr>
        <w:t xml:space="preserve">login </w:t>
      </w:r>
      <w:r w:rsidR="00A41DDF" w:rsidRPr="00ED1A61">
        <w:rPr>
          <w:rFonts w:ascii="Ecofont Vera Sans" w:hAnsi="Ecofont Vera Sans" w:cs="DejaVu Sans"/>
          <w:sz w:val="24"/>
          <w:szCs w:val="24"/>
        </w:rPr>
        <w:t xml:space="preserve">e senha pessoal e intransferível. </w:t>
      </w:r>
    </w:p>
    <w:p w:rsidR="00925E19" w:rsidRDefault="00925E19" w:rsidP="00925E19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ED1A61">
        <w:rPr>
          <w:rFonts w:ascii="Ecofont Vera Sans" w:hAnsi="Ecofont Vera Sans" w:cs="DejaVu Sans,Bold"/>
          <w:bCs/>
          <w:sz w:val="24"/>
          <w:szCs w:val="24"/>
        </w:rPr>
        <w:t>.............................................</w:t>
      </w:r>
      <w:r w:rsidR="00ED1A61" w:rsidRPr="00ED1A61">
        <w:rPr>
          <w:rFonts w:ascii="Ecofont Vera Sans" w:hAnsi="Ecofont Vera Sans" w:cs="DejaVu Sans,Bold"/>
          <w:bCs/>
          <w:sz w:val="24"/>
          <w:szCs w:val="24"/>
        </w:rPr>
        <w:t>..........</w:t>
      </w:r>
    </w:p>
    <w:p w:rsidR="00B24871" w:rsidRPr="002B63E7" w:rsidRDefault="00B24871" w:rsidP="00B24871">
      <w:pPr>
        <w:spacing w:before="240" w:after="240" w:line="264" w:lineRule="auto"/>
        <w:jc w:val="both"/>
        <w:rPr>
          <w:rFonts w:ascii="Ecofont Vera Sans" w:hAnsi="Ecofont Vera Sans"/>
          <w:sz w:val="24"/>
          <w:szCs w:val="24"/>
        </w:rPr>
      </w:pPr>
      <w:r w:rsidRPr="002B63E7">
        <w:rPr>
          <w:rFonts w:ascii="Ecofont Vera Sans" w:hAnsi="Ecofont Vera Sans"/>
          <w:sz w:val="24"/>
          <w:szCs w:val="24"/>
        </w:rPr>
        <w:t xml:space="preserve">Art. 4º Os atos enviados ao Tribunal, por meio do Sistema Grad, sofrerão análise e crítica preliminar para identificação de inconsistências ou omissões no cadastramento de dados.  </w:t>
      </w:r>
    </w:p>
    <w:p w:rsidR="00A41DDF" w:rsidRPr="002B63E7" w:rsidRDefault="00A41DDF" w:rsidP="00925E19">
      <w:pPr>
        <w:spacing w:before="240" w:after="240" w:line="264" w:lineRule="auto"/>
        <w:jc w:val="both"/>
        <w:rPr>
          <w:rFonts w:ascii="Ecofont Vera Sans" w:hAnsi="Ecofont Vera Sans" w:cs="DejaVu Sans"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§1º</w:t>
      </w:r>
      <w:r w:rsidRPr="002B63E7">
        <w:rPr>
          <w:rFonts w:ascii="Ecofont Vera Sans" w:hAnsi="Ecofont Vera Sans"/>
          <w:sz w:val="24"/>
        </w:rPr>
        <w:t xml:space="preserve"> </w:t>
      </w:r>
      <w:r w:rsidRPr="002B63E7">
        <w:rPr>
          <w:rFonts w:ascii="Ecofont Vera Sans" w:hAnsi="Ecofont Vera Sans" w:cs="DejaVu Sans"/>
          <w:sz w:val="24"/>
          <w:szCs w:val="24"/>
        </w:rPr>
        <w:t>A crítica preliminar restitu</w:t>
      </w:r>
      <w:r w:rsidR="00B24871" w:rsidRPr="002B63E7">
        <w:rPr>
          <w:rFonts w:ascii="Ecofont Vera Sans" w:hAnsi="Ecofont Vera Sans" w:cs="DejaVu Sans"/>
          <w:sz w:val="24"/>
          <w:szCs w:val="24"/>
        </w:rPr>
        <w:t>irá</w:t>
      </w:r>
      <w:r w:rsidR="000B7BB2" w:rsidRPr="002B63E7">
        <w:rPr>
          <w:rFonts w:ascii="Ecofont Vera Sans" w:hAnsi="Ecofont Vera Sans" w:cs="DejaVu Sans"/>
          <w:sz w:val="24"/>
          <w:szCs w:val="24"/>
        </w:rPr>
        <w:t xml:space="preserve"> a ficha cadastral</w:t>
      </w:r>
      <w:r w:rsidRPr="002B63E7">
        <w:rPr>
          <w:rFonts w:ascii="Ecofont Vera Sans" w:hAnsi="Ecofont Vera Sans" w:cs="DejaVu Sans"/>
          <w:sz w:val="24"/>
          <w:szCs w:val="24"/>
        </w:rPr>
        <w:t xml:space="preserve">, por meio do Sistema </w:t>
      </w:r>
      <w:r w:rsidR="000B7BB2" w:rsidRPr="002B63E7">
        <w:rPr>
          <w:rFonts w:ascii="Ecofont Vera Sans" w:hAnsi="Ecofont Vera Sans" w:cs="DejaVu Sans"/>
          <w:sz w:val="24"/>
          <w:szCs w:val="24"/>
        </w:rPr>
        <w:t>GRAD</w:t>
      </w:r>
      <w:r w:rsidRPr="002B63E7">
        <w:rPr>
          <w:rFonts w:ascii="Ecofont Vera Sans" w:hAnsi="Ecofont Vera Sans" w:cs="DejaVu Sans"/>
          <w:sz w:val="24"/>
          <w:szCs w:val="24"/>
        </w:rPr>
        <w:t xml:space="preserve">, ao órgão ou entidade responsável pela inserção dos dados e informações no Sistema </w:t>
      </w:r>
      <w:r w:rsidR="000B7BB2" w:rsidRPr="002B63E7">
        <w:rPr>
          <w:rFonts w:ascii="Ecofont Vera Sans" w:hAnsi="Ecofont Vera Sans" w:cs="DejaVu Sans"/>
          <w:sz w:val="24"/>
          <w:szCs w:val="24"/>
        </w:rPr>
        <w:t>para que promova os esclarecimentos e correções pelo jurisdicionado, no prazo de 15 (quinze) dias.</w:t>
      </w:r>
    </w:p>
    <w:p w:rsidR="009A2266" w:rsidRPr="002B63E7" w:rsidRDefault="009A2266" w:rsidP="00925E19">
      <w:pPr>
        <w:spacing w:before="240" w:after="240" w:line="264" w:lineRule="auto"/>
        <w:jc w:val="both"/>
        <w:rPr>
          <w:rFonts w:ascii="Ecofont Vera Sans" w:hAnsi="Ecofont Vera Sans" w:cs="DejaVu Sans"/>
          <w:sz w:val="24"/>
          <w:szCs w:val="24"/>
        </w:rPr>
      </w:pPr>
      <w:r w:rsidRPr="002B63E7">
        <w:rPr>
          <w:rFonts w:ascii="Ecofont Vera Sans" w:hAnsi="Ecofont Vera Sans" w:cs="DejaVu Sans"/>
          <w:sz w:val="24"/>
          <w:szCs w:val="24"/>
        </w:rPr>
        <w:t>......................................................</w:t>
      </w:r>
    </w:p>
    <w:p w:rsidR="00B24871" w:rsidRPr="002B63E7" w:rsidRDefault="009A2266" w:rsidP="00B24871">
      <w:pPr>
        <w:spacing w:before="240" w:after="240" w:line="264" w:lineRule="auto"/>
        <w:jc w:val="both"/>
        <w:rPr>
          <w:rFonts w:ascii="Ecofont Vera Sans" w:hAnsi="Ecofont Vera Sans" w:cs="DejaVu Sans,Italic"/>
          <w:i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§3</w:t>
      </w:r>
      <w:r w:rsidR="00B24871" w:rsidRPr="002B63E7">
        <w:rPr>
          <w:rFonts w:ascii="Ecofont Vera Sans" w:hAnsi="Ecofont Vera Sans" w:cs="DejaVu Sans,Bold"/>
          <w:bCs/>
          <w:sz w:val="24"/>
          <w:szCs w:val="24"/>
        </w:rPr>
        <w:t>º</w:t>
      </w:r>
      <w:r w:rsidR="00B24871" w:rsidRPr="002B63E7">
        <w:rPr>
          <w:rFonts w:ascii="Ecofont Vera Sans" w:hAnsi="Ecofont Vera Sans"/>
          <w:sz w:val="24"/>
        </w:rPr>
        <w:t xml:space="preserve"> </w:t>
      </w:r>
      <w:r w:rsidR="00B24871" w:rsidRPr="002B63E7">
        <w:rPr>
          <w:rFonts w:ascii="Ecofont Vera Sans" w:hAnsi="Ecofont Vera Sans" w:cs="DejaVu Sans"/>
          <w:sz w:val="24"/>
          <w:szCs w:val="24"/>
        </w:rPr>
        <w:t xml:space="preserve">O órgão ou entidade poderá, mediante pedido motivado, solicitar ao Tribunal a prorrogação do prazo de que trata o </w:t>
      </w:r>
      <w:r w:rsidRPr="002B63E7">
        <w:rPr>
          <w:rFonts w:ascii="Ecofont Vera Sans" w:hAnsi="Ecofont Vera Sans"/>
          <w:sz w:val="24"/>
        </w:rPr>
        <w:t>§ 1º</w:t>
      </w:r>
      <w:r w:rsidR="00B24871" w:rsidRPr="002B63E7">
        <w:rPr>
          <w:rFonts w:ascii="Ecofont Vera Sans" w:hAnsi="Ecofont Vera Sans"/>
          <w:sz w:val="24"/>
        </w:rPr>
        <w:t>.</w:t>
      </w:r>
    </w:p>
    <w:p w:rsidR="00B24871" w:rsidRPr="002B63E7" w:rsidRDefault="00B24871" w:rsidP="00B160CE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lastRenderedPageBreak/>
        <w:t>.......................................................</w:t>
      </w:r>
    </w:p>
    <w:p w:rsidR="00A41DDF" w:rsidRPr="002B63E7" w:rsidRDefault="00A41DDF" w:rsidP="00925E19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 xml:space="preserve">Art. 5º </w:t>
      </w:r>
      <w:r w:rsidR="00925E19" w:rsidRPr="002B63E7">
        <w:rPr>
          <w:rFonts w:ascii="Ecofont Vera Sans" w:hAnsi="Ecofont Vera Sans"/>
          <w:color w:val="000000"/>
          <w:sz w:val="24"/>
        </w:rPr>
        <w:t>..............................................</w:t>
      </w:r>
      <w:r w:rsidR="0054135D" w:rsidRPr="002B63E7">
        <w:rPr>
          <w:rFonts w:ascii="Ecofont Vera Sans" w:hAnsi="Ecofont Vera Sans"/>
          <w:color w:val="000000"/>
          <w:sz w:val="24"/>
        </w:rPr>
        <w:t>..........</w:t>
      </w:r>
    </w:p>
    <w:p w:rsidR="00B160CE" w:rsidRPr="002B63E7" w:rsidRDefault="00B160CE" w:rsidP="00B160CE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.......................................................</w:t>
      </w:r>
    </w:p>
    <w:p w:rsidR="00E74973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sz w:val="24"/>
          <w:szCs w:val="24"/>
        </w:rPr>
        <w:t>IV-</w:t>
      </w:r>
      <w:r w:rsidR="00E74973" w:rsidRPr="002B63E7">
        <w:rPr>
          <w:rFonts w:ascii="Ecofont Vera Sans" w:hAnsi="Ecofont Vera Sans"/>
          <w:color w:val="000000"/>
          <w:sz w:val="24"/>
        </w:rPr>
        <w:t xml:space="preserve"> REVOGADO</w:t>
      </w:r>
    </w:p>
    <w:p w:rsidR="00B160CE" w:rsidRPr="002B63E7" w:rsidRDefault="00B160CE" w:rsidP="00B160CE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.......................................................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 xml:space="preserve">Art. 7º </w:t>
      </w:r>
      <w:r w:rsidR="00925E19" w:rsidRPr="002B63E7">
        <w:rPr>
          <w:rFonts w:ascii="Ecofont Vera Sans" w:hAnsi="Ecofont Vera Sans"/>
          <w:color w:val="000000"/>
          <w:sz w:val="24"/>
        </w:rPr>
        <w:t>.................................................................</w:t>
      </w:r>
    </w:p>
    <w:p w:rsidR="00B160CE" w:rsidRPr="002B63E7" w:rsidRDefault="00B160CE" w:rsidP="00B160CE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.......................................................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 w:cs="DejaVu Sans"/>
          <w:sz w:val="24"/>
          <w:szCs w:val="24"/>
        </w:rPr>
      </w:pPr>
      <w:r w:rsidRPr="002B63E7">
        <w:rPr>
          <w:rFonts w:ascii="Ecofont Vera Sans" w:hAnsi="Ecofont Vera Sans" w:cs="DejaVu Sans"/>
          <w:sz w:val="24"/>
          <w:szCs w:val="24"/>
        </w:rPr>
        <w:t>V- candidatos optantes pelas vagas de ampla concorrência e optantes pelas vagas destinadas as Pessoas com Deficiência (PcD).</w:t>
      </w:r>
    </w:p>
    <w:p w:rsidR="00B160CE" w:rsidRPr="002B63E7" w:rsidRDefault="00B160CE" w:rsidP="00B160CE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.......................................................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 xml:space="preserve">Art. 8º O órgão ou entidade responsável pelos atos de posse e de entrada em exercício do candidato nomeado deverá cadastrá-los no Sistema Grad, no prazo de </w:t>
      </w:r>
      <w:r w:rsidRPr="002B63E7">
        <w:rPr>
          <w:rFonts w:ascii="Ecofont Vera Sans" w:hAnsi="Ecofont Vera Sans" w:cs="DejaVu Sans"/>
          <w:color w:val="000000"/>
          <w:sz w:val="24"/>
          <w:szCs w:val="24"/>
        </w:rPr>
        <w:t>60 (sessenta</w:t>
      </w:r>
      <w:r w:rsidRPr="002B63E7">
        <w:rPr>
          <w:rFonts w:ascii="Ecofont Vera Sans" w:hAnsi="Ecofont Vera Sans"/>
          <w:color w:val="000000"/>
          <w:sz w:val="24"/>
        </w:rPr>
        <w:t>) dias, a contar da entrada em exercício do candidato.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 xml:space="preserve">§1º </w:t>
      </w:r>
      <w:r w:rsidR="00925E19" w:rsidRPr="002B63E7">
        <w:rPr>
          <w:rFonts w:ascii="Ecofont Vera Sans" w:hAnsi="Ecofont Vera Sans"/>
          <w:color w:val="000000"/>
          <w:sz w:val="24"/>
        </w:rPr>
        <w:t>..........................................................................</w:t>
      </w:r>
    </w:p>
    <w:p w:rsidR="00A41DDF" w:rsidRPr="002B63E7" w:rsidRDefault="001236C6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>I-</w:t>
      </w:r>
      <w:r w:rsidR="00A41DDF" w:rsidRPr="002B63E7">
        <w:rPr>
          <w:rFonts w:ascii="Ecofont Vera Sans" w:hAnsi="Ecofont Vera Sans"/>
          <w:color w:val="000000"/>
          <w:sz w:val="24"/>
        </w:rPr>
        <w:t xml:space="preserve"> </w:t>
      </w:r>
      <w:r w:rsidR="00925E19" w:rsidRPr="002B63E7">
        <w:rPr>
          <w:rFonts w:ascii="Ecofont Vera Sans" w:hAnsi="Ecofont Vera Sans"/>
          <w:color w:val="000000"/>
          <w:sz w:val="24"/>
        </w:rPr>
        <w:t>.............................................................................</w:t>
      </w:r>
      <w:r w:rsidR="00A41DDF" w:rsidRPr="002B63E7">
        <w:rPr>
          <w:rFonts w:ascii="Ecofont Vera Sans" w:hAnsi="Ecofont Vera Sans"/>
          <w:color w:val="000000"/>
          <w:sz w:val="24"/>
        </w:rPr>
        <w:t xml:space="preserve"> 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 w:cs="DejaVu Sans"/>
          <w:sz w:val="24"/>
          <w:szCs w:val="24"/>
        </w:rPr>
      </w:pPr>
      <w:r w:rsidRPr="002B63E7">
        <w:rPr>
          <w:rFonts w:ascii="Ecofont Vera Sans" w:hAnsi="Ecofont Vera Sans" w:cs="DejaVu Sans"/>
          <w:sz w:val="24"/>
          <w:szCs w:val="24"/>
        </w:rPr>
        <w:t>h) admitido na condição de Pessoa com Deficiência (PcD);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 xml:space="preserve">i) admitido na condição </w:t>
      </w:r>
      <w:r w:rsidRPr="002B63E7">
        <w:rPr>
          <w:rFonts w:ascii="Ecofont Vera Sans" w:hAnsi="Ecofont Vera Sans"/>
          <w:i/>
          <w:color w:val="000000"/>
          <w:sz w:val="24"/>
        </w:rPr>
        <w:t>sub judice</w:t>
      </w:r>
      <w:r w:rsidRPr="002B63E7">
        <w:rPr>
          <w:rFonts w:ascii="Ecofont Vera Sans" w:hAnsi="Ecofont Vera Sans" w:cs="DejaVu Sans"/>
          <w:color w:val="000000"/>
          <w:sz w:val="24"/>
          <w:szCs w:val="24"/>
        </w:rPr>
        <w:t xml:space="preserve">, com a indicação do respectivo número do processo judicial; </w:t>
      </w:r>
    </w:p>
    <w:p w:rsidR="00B160CE" w:rsidRPr="002B63E7" w:rsidRDefault="00B160CE" w:rsidP="00B160CE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.......................................................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 xml:space="preserve">III – </w:t>
      </w:r>
      <w:r w:rsidR="00925E19" w:rsidRPr="002B63E7">
        <w:rPr>
          <w:rFonts w:ascii="Ecofont Vera Sans" w:hAnsi="Ecofont Vera Sans"/>
          <w:color w:val="000000"/>
          <w:sz w:val="24"/>
        </w:rPr>
        <w:t>.....................................................</w:t>
      </w:r>
      <w:r w:rsidRPr="002B63E7">
        <w:rPr>
          <w:rFonts w:ascii="Ecofont Vera Sans" w:hAnsi="Ecofont Vera Sans"/>
          <w:color w:val="000000"/>
          <w:sz w:val="24"/>
        </w:rPr>
        <w:t xml:space="preserve"> </w:t>
      </w:r>
    </w:p>
    <w:p w:rsidR="00ED1A61" w:rsidRPr="002B63E7" w:rsidRDefault="00ED1A61" w:rsidP="00A41DDF">
      <w:pPr>
        <w:spacing w:before="240" w:after="240" w:line="264" w:lineRule="auto"/>
        <w:jc w:val="both"/>
        <w:rPr>
          <w:rFonts w:ascii="Ecofont Vera Sans" w:hAnsi="Ecofont Vera Sans"/>
          <w:sz w:val="24"/>
          <w:szCs w:val="24"/>
        </w:rPr>
      </w:pPr>
      <w:r w:rsidRPr="002B63E7">
        <w:rPr>
          <w:rFonts w:ascii="Ecofont Vera Sans" w:hAnsi="Ecofont Vera Sans"/>
          <w:sz w:val="24"/>
          <w:szCs w:val="24"/>
        </w:rPr>
        <w:t xml:space="preserve">c) </w:t>
      </w:r>
      <w:r w:rsidR="00925E19" w:rsidRPr="002B63E7">
        <w:rPr>
          <w:rFonts w:ascii="Ecofont Vera Sans" w:hAnsi="Ecofont Vera Sans"/>
          <w:sz w:val="24"/>
          <w:szCs w:val="24"/>
        </w:rPr>
        <w:t>REVOGADA</w:t>
      </w:r>
    </w:p>
    <w:p w:rsidR="00B160CE" w:rsidRPr="002B63E7" w:rsidRDefault="00B160CE" w:rsidP="00B160CE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.......................................................</w:t>
      </w:r>
    </w:p>
    <w:p w:rsidR="00925E19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sz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Art. 10.</w:t>
      </w:r>
      <w:r w:rsidRPr="002B63E7">
        <w:rPr>
          <w:rFonts w:ascii="Ecofont Vera Sans" w:hAnsi="Ecofont Vera Sans"/>
          <w:sz w:val="24"/>
        </w:rPr>
        <w:t xml:space="preserve"> </w:t>
      </w:r>
      <w:r w:rsidR="00925E19" w:rsidRPr="002B63E7">
        <w:rPr>
          <w:rFonts w:ascii="Ecofont Vera Sans" w:hAnsi="Ecofont Vera Sans"/>
          <w:sz w:val="24"/>
        </w:rPr>
        <w:t>REVOGADO</w:t>
      </w:r>
    </w:p>
    <w:p w:rsidR="00925E19" w:rsidRPr="002B63E7" w:rsidRDefault="00925E19" w:rsidP="00A41DDF">
      <w:pPr>
        <w:spacing w:before="240" w:after="240" w:line="264" w:lineRule="auto"/>
        <w:jc w:val="both"/>
        <w:rPr>
          <w:rFonts w:ascii="Ecofont Vera Sans" w:hAnsi="Ecofont Vera Sans"/>
          <w:sz w:val="24"/>
        </w:rPr>
      </w:pPr>
      <w:r w:rsidRPr="002B63E7">
        <w:rPr>
          <w:rFonts w:ascii="Ecofont Vera Sans" w:hAnsi="Ecofont Vera Sans"/>
          <w:sz w:val="24"/>
        </w:rPr>
        <w:t>Art. 11. REVOGADO</w:t>
      </w:r>
    </w:p>
    <w:p w:rsidR="00A41DDF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 w:cs="DejaVu Sans"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lastRenderedPageBreak/>
        <w:t>Art. 12. Recebidos os documentos no Tribunal de Contas, a</w:t>
      </w:r>
      <w:r w:rsidRPr="002B63E7">
        <w:rPr>
          <w:rFonts w:ascii="Ecofont Vera Sans" w:hAnsi="Ecofont Vera Sans" w:cs="DejaVu Sans"/>
          <w:sz w:val="24"/>
          <w:szCs w:val="24"/>
        </w:rPr>
        <w:t xml:space="preserve"> unidade técnica competente encaminhará </w:t>
      </w:r>
      <w:r w:rsidR="0041336A" w:rsidRPr="002B63E7">
        <w:rPr>
          <w:rFonts w:ascii="Ecofont Vera Sans" w:hAnsi="Ecofont Vera Sans" w:cs="DejaVu Sans"/>
          <w:sz w:val="24"/>
          <w:szCs w:val="24"/>
        </w:rPr>
        <w:t xml:space="preserve">ao Serviço de Protocolo e Remessas Postais do TCE-GO </w:t>
      </w:r>
      <w:r w:rsidRPr="002B63E7">
        <w:rPr>
          <w:rFonts w:ascii="Ecofont Vera Sans" w:hAnsi="Ecofont Vera Sans" w:cs="DejaVu Sans"/>
          <w:sz w:val="24"/>
          <w:szCs w:val="24"/>
        </w:rPr>
        <w:t>as fichas geradas pelo Sistema Grad, contendo as informações admissionais de cada servidor cadastrado no sistema, para autuação e distribuição dos processos de registro do ato de admissão de pessoal.</w:t>
      </w:r>
    </w:p>
    <w:p w:rsidR="0041336A" w:rsidRPr="002B63E7" w:rsidRDefault="00A41DDF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 xml:space="preserve">Parágrafo único. </w:t>
      </w:r>
      <w:r w:rsidR="0041336A" w:rsidRPr="002B63E7">
        <w:rPr>
          <w:rFonts w:ascii="Ecofont Vera Sans" w:hAnsi="Ecofont Vera Sans"/>
          <w:color w:val="000000"/>
          <w:sz w:val="24"/>
        </w:rPr>
        <w:t>Após a autuação e distribuição, o processo será encaminhado ao setor responsável para que emita a informação, no prazo de 05 (cinco) dias, acerca da existência ou não de registro em nome do servidor neste Tribunal, e, em seguida, será remetido à unidade técnica competente para análise e emissão de instrução técnica conclusiva.</w:t>
      </w:r>
    </w:p>
    <w:p w:rsidR="009A2266" w:rsidRPr="002B63E7" w:rsidRDefault="009A2266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2B63E7">
        <w:rPr>
          <w:rFonts w:ascii="Ecofont Vera Sans" w:hAnsi="Ecofont Vera Sans"/>
          <w:color w:val="000000"/>
          <w:sz w:val="24"/>
        </w:rPr>
        <w:t>......................................................</w:t>
      </w:r>
    </w:p>
    <w:p w:rsidR="009A2266" w:rsidRPr="002B63E7" w:rsidRDefault="009A2266" w:rsidP="009A2266">
      <w:pPr>
        <w:spacing w:before="240" w:after="0" w:line="264" w:lineRule="auto"/>
        <w:jc w:val="both"/>
        <w:rPr>
          <w:rFonts w:ascii="Ecofont Vera Sans" w:hAnsi="Ecofont Vera Sans"/>
          <w:sz w:val="24"/>
        </w:rPr>
      </w:pPr>
      <w:r w:rsidRPr="002B63E7">
        <w:rPr>
          <w:rFonts w:ascii="Ecofont Vera Sans" w:hAnsi="Ecofont Vera Sans" w:cs="DejaVu Sans"/>
          <w:sz w:val="24"/>
          <w:szCs w:val="24"/>
        </w:rPr>
        <w:t xml:space="preserve">Art.16-A. O não cumprimento dos prazos estabelecidos nesta Resolução sujeitará o responsável às sanções previstas no art. </w:t>
      </w:r>
      <w:r w:rsidRPr="002B63E7">
        <w:rPr>
          <w:rFonts w:ascii="Ecofont Vera Sans" w:hAnsi="Ecofont Vera Sans"/>
          <w:sz w:val="24"/>
        </w:rPr>
        <w:t>112 da Lei Estadual nº 16.168, de 11 de dezembro de 2007.</w:t>
      </w:r>
    </w:p>
    <w:p w:rsidR="00ED1A61" w:rsidRPr="002B63E7" w:rsidRDefault="00B160CE" w:rsidP="00A41DDF">
      <w:pPr>
        <w:spacing w:before="240" w:after="240" w:line="264" w:lineRule="auto"/>
        <w:jc w:val="both"/>
        <w:rPr>
          <w:rFonts w:ascii="Ecofont Vera Sans" w:hAnsi="Ecofont Vera Sans" w:cs="DejaVu Sans,Bold"/>
          <w:bCs/>
          <w:sz w:val="24"/>
          <w:szCs w:val="24"/>
        </w:rPr>
      </w:pPr>
      <w:r w:rsidRPr="002B63E7">
        <w:rPr>
          <w:rFonts w:ascii="Ecofont Vera Sans" w:hAnsi="Ecofont Vera Sans" w:cs="DejaVu Sans,Bold"/>
          <w:bCs/>
          <w:sz w:val="24"/>
          <w:szCs w:val="24"/>
        </w:rPr>
        <w:t>.......................................................</w:t>
      </w:r>
      <w:r w:rsidR="00ED1A61" w:rsidRPr="002B63E7">
        <w:rPr>
          <w:rFonts w:ascii="Ecofont Vera Sans" w:hAnsi="Ecofont Vera Sans"/>
          <w:color w:val="000000"/>
          <w:sz w:val="24"/>
        </w:rPr>
        <w:t>” (NR)</w:t>
      </w:r>
    </w:p>
    <w:p w:rsidR="00ED1A61" w:rsidRDefault="00ED1A61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</w:p>
    <w:p w:rsidR="00ED1A61" w:rsidRDefault="00ED1A61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b/>
          <w:color w:val="000000"/>
          <w:sz w:val="24"/>
        </w:rPr>
        <w:t xml:space="preserve">Art. 2º. </w:t>
      </w:r>
      <w:r w:rsidRPr="00ED1A61">
        <w:rPr>
          <w:rFonts w:ascii="Ecofont Vera Sans" w:hAnsi="Ecofont Vera Sans"/>
          <w:color w:val="000000"/>
          <w:sz w:val="24"/>
        </w:rPr>
        <w:t>Esta Resolução entra em vigor na data de sua publicação.</w:t>
      </w:r>
    </w:p>
    <w:p w:rsidR="00ED1A61" w:rsidRPr="00ED1A61" w:rsidRDefault="00ED1A61" w:rsidP="00A41DDF">
      <w:pPr>
        <w:spacing w:before="240" w:after="240" w:line="264" w:lineRule="auto"/>
        <w:jc w:val="both"/>
        <w:rPr>
          <w:rFonts w:ascii="Ecofont Vera Sans" w:hAnsi="Ecofont Vera Sans"/>
          <w:color w:val="000000"/>
          <w:sz w:val="24"/>
        </w:rPr>
      </w:pPr>
    </w:p>
    <w:p w:rsidR="00A41DDF" w:rsidRPr="00ED1A61" w:rsidRDefault="00A41DDF" w:rsidP="00ED1A61">
      <w:pPr>
        <w:spacing w:before="240" w:after="240" w:line="264" w:lineRule="auto"/>
        <w:ind w:firstLine="708"/>
        <w:jc w:val="both"/>
        <w:rPr>
          <w:rFonts w:ascii="Ecofont Vera Sans" w:hAnsi="Ecofont Vera Sans"/>
          <w:color w:val="000000"/>
          <w:sz w:val="24"/>
        </w:rPr>
      </w:pPr>
      <w:r w:rsidRPr="00D9084E">
        <w:rPr>
          <w:rFonts w:ascii="Ecofont Vera Sans" w:hAnsi="Ecofont Vera Sans" w:cs="DejaVu Sans,Bold"/>
          <w:b/>
          <w:bCs/>
          <w:sz w:val="24"/>
          <w:szCs w:val="24"/>
          <w:lang w:eastAsia="pt-BR"/>
        </w:rPr>
        <w:t>TRIBUNAL DE CONTAS DO ESTADO DE GOIÁS</w:t>
      </w:r>
      <w:r w:rsidRPr="00ED1A61">
        <w:rPr>
          <w:rFonts w:ascii="Ecofont Vera Sans" w:hAnsi="Ecofont Vera Sans"/>
          <w:color w:val="000000"/>
          <w:sz w:val="24"/>
        </w:rPr>
        <w:t>, em Goiânia/GO, aos</w:t>
      </w:r>
    </w:p>
    <w:p w:rsidR="00A41DDF" w:rsidRPr="00ED1A61" w:rsidRDefault="00A41DDF" w:rsidP="00A41DDF">
      <w:pPr>
        <w:spacing w:before="240" w:after="240" w:line="264" w:lineRule="auto"/>
        <w:jc w:val="right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 xml:space="preserve">,Presidente </w:t>
      </w:r>
    </w:p>
    <w:p w:rsidR="00A41DDF" w:rsidRPr="00ED1A61" w:rsidRDefault="00A41DDF" w:rsidP="00A41DDF">
      <w:pPr>
        <w:spacing w:before="240" w:after="240" w:line="264" w:lineRule="auto"/>
        <w:jc w:val="right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 xml:space="preserve">,Relator </w:t>
      </w:r>
    </w:p>
    <w:p w:rsidR="00A41DDF" w:rsidRPr="00ED1A61" w:rsidRDefault="00A41DDF" w:rsidP="00A41DDF">
      <w:pPr>
        <w:spacing w:before="240" w:after="240" w:line="264" w:lineRule="auto"/>
        <w:jc w:val="right"/>
        <w:rPr>
          <w:rFonts w:ascii="Ecofont Vera Sans" w:hAnsi="Ecofont Vera Sans"/>
          <w:b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 xml:space="preserve">,Conselheiro </w:t>
      </w:r>
      <w:r w:rsidRPr="00D9084E">
        <w:rPr>
          <w:rFonts w:ascii="Ecofont Vera Sans" w:hAnsi="Ecofont Vera Sans" w:cs="DejaVu Sans,Bold"/>
          <w:b/>
          <w:bCs/>
          <w:color w:val="000000"/>
          <w:sz w:val="24"/>
          <w:szCs w:val="24"/>
        </w:rPr>
        <w:t xml:space="preserve">  </w:t>
      </w:r>
    </w:p>
    <w:p w:rsidR="00A41DDF" w:rsidRPr="00ED1A61" w:rsidRDefault="00A41DDF" w:rsidP="00A41DDF">
      <w:pPr>
        <w:spacing w:before="240" w:after="240" w:line="264" w:lineRule="auto"/>
        <w:jc w:val="right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 xml:space="preserve">,Conselheiro </w:t>
      </w:r>
    </w:p>
    <w:p w:rsidR="00A41DDF" w:rsidRPr="00ED1A61" w:rsidRDefault="00A41DDF" w:rsidP="00A41DDF">
      <w:pPr>
        <w:spacing w:before="240" w:after="240" w:line="264" w:lineRule="auto"/>
        <w:jc w:val="right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 xml:space="preserve">,Conselheiro </w:t>
      </w:r>
    </w:p>
    <w:p w:rsidR="00A41DDF" w:rsidRPr="00ED1A61" w:rsidRDefault="00A41DDF" w:rsidP="00A41DDF">
      <w:pPr>
        <w:spacing w:before="240" w:after="240" w:line="264" w:lineRule="auto"/>
        <w:jc w:val="right"/>
        <w:rPr>
          <w:rFonts w:ascii="Ecofont Vera Sans" w:hAnsi="Ecofont Vera Sans"/>
          <w:color w:val="000000"/>
          <w:sz w:val="24"/>
        </w:rPr>
      </w:pPr>
      <w:r w:rsidRPr="00ED1A61">
        <w:rPr>
          <w:rFonts w:ascii="Ecofont Vera Sans" w:hAnsi="Ecofont Vera Sans"/>
          <w:color w:val="000000"/>
          <w:sz w:val="24"/>
        </w:rPr>
        <w:t xml:space="preserve">,Conselheiro </w:t>
      </w:r>
    </w:p>
    <w:p w:rsidR="00A41DDF" w:rsidRPr="00D9084E" w:rsidRDefault="00A41DDF" w:rsidP="00A41DDF">
      <w:pPr>
        <w:spacing w:before="240" w:after="240" w:line="264" w:lineRule="auto"/>
        <w:jc w:val="right"/>
        <w:rPr>
          <w:rFonts w:ascii="Ecofont Vera Sans" w:hAnsi="Ecofont Vera Sans" w:cs="DejaVu Sans"/>
          <w:color w:val="000000"/>
          <w:sz w:val="24"/>
          <w:szCs w:val="24"/>
        </w:rPr>
      </w:pPr>
      <w:r w:rsidRPr="00D9084E">
        <w:rPr>
          <w:rFonts w:ascii="Ecofont Vera Sans" w:hAnsi="Ecofont Vera Sans" w:cs="DejaVu Sans"/>
          <w:color w:val="000000"/>
          <w:sz w:val="24"/>
          <w:szCs w:val="24"/>
        </w:rPr>
        <w:t xml:space="preserve">,Conselheiro </w:t>
      </w:r>
    </w:p>
    <w:p w:rsidR="00A41DDF" w:rsidRPr="00D9084E" w:rsidRDefault="00A41DDF" w:rsidP="00A41DDF">
      <w:pPr>
        <w:spacing w:before="240" w:after="240" w:line="264" w:lineRule="auto"/>
        <w:jc w:val="right"/>
        <w:rPr>
          <w:rFonts w:ascii="Ecofont Vera Sans" w:hAnsi="Ecofont Vera Sans" w:cs="DejaVu Sans"/>
          <w:color w:val="000000"/>
          <w:sz w:val="24"/>
          <w:szCs w:val="24"/>
        </w:rPr>
      </w:pPr>
      <w:r w:rsidRPr="00D9084E">
        <w:rPr>
          <w:rFonts w:ascii="Ecofont Vera Sans" w:hAnsi="Ecofont Vera Sans" w:cs="DejaVu Sans"/>
          <w:color w:val="000000"/>
          <w:sz w:val="24"/>
          <w:szCs w:val="24"/>
        </w:rPr>
        <w:lastRenderedPageBreak/>
        <w:t>,</w:t>
      </w:r>
      <w:r w:rsidRPr="00ED1A61">
        <w:rPr>
          <w:rFonts w:ascii="Ecofont Vera Sans" w:hAnsi="Ecofont Vera Sans"/>
          <w:color w:val="000000"/>
          <w:sz w:val="24"/>
        </w:rPr>
        <w:t>Procuradora-Geral de Contas</w:t>
      </w:r>
      <w:r w:rsidRPr="00D9084E">
        <w:rPr>
          <w:rFonts w:ascii="Ecofont Vera Sans" w:hAnsi="Ecofont Vera Sans" w:cs="DejaVu Sans"/>
          <w:color w:val="000000"/>
          <w:sz w:val="24"/>
          <w:szCs w:val="24"/>
        </w:rPr>
        <w:t xml:space="preserve"> </w:t>
      </w:r>
    </w:p>
    <w:p w:rsidR="00A41DDF" w:rsidRPr="00D9084E" w:rsidRDefault="00A41DDF" w:rsidP="00A41DDF">
      <w:pPr>
        <w:spacing w:before="240" w:after="240" w:line="264" w:lineRule="auto"/>
        <w:jc w:val="both"/>
        <w:rPr>
          <w:rFonts w:ascii="Ecofont Vera Sans" w:hAnsi="Ecofont Vera Sans" w:cs="Arial"/>
          <w:color w:val="FF0000"/>
          <w:sz w:val="24"/>
          <w:szCs w:val="24"/>
        </w:rPr>
      </w:pPr>
      <w:r w:rsidRPr="00D9084E">
        <w:rPr>
          <w:rFonts w:ascii="Ecofont Vera Sans" w:hAnsi="Ecofont Vera Sans" w:cs="Arial"/>
          <w:color w:val="FF0000"/>
          <w:sz w:val="24"/>
          <w:szCs w:val="24"/>
        </w:rPr>
        <w:t xml:space="preserve">  </w:t>
      </w:r>
    </w:p>
    <w:p w:rsidR="00A41DDF" w:rsidRPr="00D9084E" w:rsidRDefault="00A41DDF" w:rsidP="00A41DDF">
      <w:pPr>
        <w:spacing w:before="240" w:after="240" w:line="264" w:lineRule="auto"/>
        <w:jc w:val="both"/>
        <w:rPr>
          <w:rFonts w:ascii="Ecofont Vera Sans" w:hAnsi="Ecofont Vera Sans"/>
          <w:sz w:val="24"/>
          <w:szCs w:val="24"/>
        </w:rPr>
      </w:pPr>
      <w:r w:rsidRPr="00D9084E">
        <w:rPr>
          <w:rFonts w:ascii="Ecofont Vera Sans" w:hAnsi="Ecofont Vera Sans"/>
          <w:sz w:val="24"/>
          <w:szCs w:val="24"/>
        </w:rPr>
        <w:t xml:space="preserve"> </w:t>
      </w:r>
    </w:p>
    <w:p w:rsidR="00A41DDF" w:rsidRPr="00D9084E" w:rsidRDefault="00A41DDF" w:rsidP="00ED1A61">
      <w:pPr>
        <w:spacing w:before="240" w:after="240" w:line="264" w:lineRule="auto"/>
        <w:rPr>
          <w:rFonts w:ascii="Ecofont Vera Sans" w:hAnsi="Ecofont Vera Sans"/>
          <w:sz w:val="24"/>
          <w:szCs w:val="24"/>
        </w:rPr>
      </w:pPr>
    </w:p>
    <w:p w:rsidR="004E334E" w:rsidRDefault="004E334E"/>
    <w:sectPr w:rsidR="004E334E" w:rsidSect="00B160CE">
      <w:headerReference w:type="default" r:id="rId8"/>
      <w:footerReference w:type="default" r:id="rId9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ECB" w:rsidRDefault="000B6ECB" w:rsidP="00ED1A61">
      <w:pPr>
        <w:spacing w:after="0" w:line="240" w:lineRule="auto"/>
      </w:pPr>
      <w:r>
        <w:separator/>
      </w:r>
    </w:p>
  </w:endnote>
  <w:endnote w:type="continuationSeparator" w:id="0">
    <w:p w:rsidR="000B6ECB" w:rsidRDefault="000B6ECB" w:rsidP="00ED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DejaVu Sans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D" w:rsidRDefault="000B6ECB" w:rsidP="009A59FA">
    <w:pPr>
      <w:pStyle w:val="Rodap"/>
      <w:spacing w:after="0" w:line="240" w:lineRule="auto"/>
      <w:jc w:val="center"/>
      <w:rPr>
        <w:rFonts w:ascii="Ecofont Vera Sans" w:hAnsi="Ecofont Vera Sans"/>
        <w:sz w:val="21"/>
        <w:szCs w:val="21"/>
        <w:shd w:val="clear" w:color="auto" w:fill="FFFFFF"/>
      </w:rPr>
    </w:pPr>
  </w:p>
  <w:p w:rsidR="009A59FA" w:rsidRPr="00D66821" w:rsidRDefault="00A009F3" w:rsidP="009A59FA">
    <w:pPr>
      <w:pStyle w:val="Rodap"/>
      <w:spacing w:after="0" w:line="240" w:lineRule="auto"/>
      <w:jc w:val="center"/>
      <w:rPr>
        <w:rFonts w:ascii="Ecofont Vera Sans" w:hAnsi="Ecofont Vera Sans"/>
        <w:sz w:val="18"/>
        <w:szCs w:val="20"/>
      </w:rPr>
    </w:pPr>
    <w:r w:rsidRPr="00D66821">
      <w:rPr>
        <w:rFonts w:ascii="Ecofont Vera Sans" w:hAnsi="Ecofont Vera Sans"/>
        <w:sz w:val="18"/>
        <w:szCs w:val="20"/>
        <w:shd w:val="clear" w:color="auto" w:fill="FFFFFF"/>
      </w:rPr>
      <w:t>Av. Ubirajara Berocan Leite, 640, St. Jaó Goiânia-GO - Cep 74.674-015</w:t>
    </w:r>
    <w:r w:rsidRPr="00D66821">
      <w:rPr>
        <w:rFonts w:ascii="Ecofont Vera Sans" w:hAnsi="Ecofont Vera Sans"/>
        <w:sz w:val="18"/>
        <w:szCs w:val="20"/>
      </w:rPr>
      <w:t xml:space="preserve"> </w:t>
    </w:r>
  </w:p>
  <w:p w:rsidR="009A59FA" w:rsidRPr="00D66821" w:rsidRDefault="00A009F3" w:rsidP="009A59FA">
    <w:pPr>
      <w:pStyle w:val="Rodap"/>
      <w:spacing w:after="0" w:line="240" w:lineRule="auto"/>
      <w:jc w:val="center"/>
      <w:rPr>
        <w:rFonts w:ascii="Ecofont Vera Sans" w:hAnsi="Ecofont Vera Sans"/>
        <w:sz w:val="18"/>
        <w:szCs w:val="20"/>
      </w:rPr>
    </w:pPr>
    <w:r w:rsidRPr="00D66821">
      <w:rPr>
        <w:rFonts w:ascii="Ecofont Vera Sans" w:hAnsi="Ecofont Vera Sans"/>
        <w:sz w:val="18"/>
        <w:szCs w:val="20"/>
      </w:rPr>
      <w:fldChar w:fldCharType="begin"/>
    </w:r>
    <w:r w:rsidRPr="00D66821">
      <w:rPr>
        <w:rFonts w:ascii="Ecofont Vera Sans" w:hAnsi="Ecofont Vera Sans"/>
        <w:sz w:val="18"/>
        <w:szCs w:val="20"/>
      </w:rPr>
      <w:instrText>PAGE   \* MERGEFORMAT</w:instrText>
    </w:r>
    <w:r w:rsidRPr="00D66821">
      <w:rPr>
        <w:rFonts w:ascii="Ecofont Vera Sans" w:hAnsi="Ecofont Vera Sans"/>
        <w:sz w:val="18"/>
        <w:szCs w:val="20"/>
      </w:rPr>
      <w:fldChar w:fldCharType="separate"/>
    </w:r>
    <w:r w:rsidR="00EB2F3E">
      <w:rPr>
        <w:rFonts w:ascii="Ecofont Vera Sans" w:hAnsi="Ecofont Vera Sans"/>
        <w:noProof/>
        <w:sz w:val="18"/>
        <w:szCs w:val="20"/>
      </w:rPr>
      <w:t>2</w:t>
    </w:r>
    <w:r w:rsidRPr="00D66821">
      <w:rPr>
        <w:rFonts w:ascii="Ecofont Vera Sans" w:hAnsi="Ecofont Vera Sans"/>
        <w:sz w:val="18"/>
        <w:szCs w:val="20"/>
      </w:rPr>
      <w:fldChar w:fldCharType="end"/>
    </w:r>
  </w:p>
  <w:p w:rsidR="009A59FA" w:rsidRPr="00D66821" w:rsidRDefault="000B6ECB">
    <w:pPr>
      <w:pStyle w:val="Rodap"/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ECB" w:rsidRDefault="000B6ECB" w:rsidP="00ED1A61">
      <w:pPr>
        <w:spacing w:after="0" w:line="240" w:lineRule="auto"/>
      </w:pPr>
      <w:r>
        <w:separator/>
      </w:r>
    </w:p>
  </w:footnote>
  <w:footnote w:type="continuationSeparator" w:id="0">
    <w:p w:rsidR="000B6ECB" w:rsidRDefault="000B6ECB" w:rsidP="00ED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9B7" w:rsidRPr="00F6202D" w:rsidRDefault="009819B7" w:rsidP="009819B7">
    <w:pPr>
      <w:spacing w:after="0" w:line="240" w:lineRule="auto"/>
      <w:jc w:val="center"/>
      <w:rPr>
        <w:rFonts w:ascii="Times New Roman" w:hAnsi="Times New Roman"/>
      </w:rPr>
    </w:pPr>
    <w:r w:rsidRPr="00F6202D">
      <w:rPr>
        <w:rFonts w:ascii="Times New Roman" w:hAnsi="Times New Roman"/>
      </w:rPr>
      <w:object w:dxaOrig="2236" w:dyaOrig="33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3pt" o:ole="" fillcolor="window">
          <v:imagedata r:id="rId1" o:title=""/>
        </v:shape>
        <o:OLEObject Type="Embed" ProgID="Word.Picture.8" ShapeID="_x0000_i1025" DrawAspect="Content" ObjectID="_1557324079" r:id="rId2"/>
      </w:object>
    </w:r>
  </w:p>
  <w:p w:rsidR="009819B7" w:rsidRPr="009819B7" w:rsidRDefault="009819B7" w:rsidP="009819B7">
    <w:pPr>
      <w:spacing w:after="0" w:line="240" w:lineRule="auto"/>
      <w:jc w:val="center"/>
      <w:rPr>
        <w:rFonts w:ascii="Ecofont Vera Sans" w:hAnsi="Ecofont Vera Sans"/>
        <w:b/>
        <w:szCs w:val="28"/>
      </w:rPr>
    </w:pPr>
    <w:r w:rsidRPr="009819B7">
      <w:rPr>
        <w:rFonts w:ascii="Ecofont Vera Sans" w:hAnsi="Ecofont Vera Sans"/>
        <w:b/>
        <w:szCs w:val="28"/>
      </w:rPr>
      <w:t>TRIBUNAL DE CONTAS DO ESTADO DE GOIÁS</w:t>
    </w:r>
  </w:p>
  <w:p w:rsidR="00B160CE" w:rsidRDefault="00B160CE" w:rsidP="001236C6">
    <w:pPr>
      <w:pStyle w:val="Cabealho"/>
      <w:spacing w:after="0" w:line="240" w:lineRule="auto"/>
      <w:jc w:val="center"/>
      <w:rPr>
        <w:rFonts w:ascii="Ecofont Vera Sans" w:hAnsi="Ecofont Vera Sans"/>
      </w:rPr>
    </w:pPr>
  </w:p>
  <w:p w:rsidR="00B160CE" w:rsidRPr="001236C6" w:rsidRDefault="00B160CE" w:rsidP="001236C6">
    <w:pPr>
      <w:pStyle w:val="Cabealho"/>
      <w:spacing w:after="0" w:line="240" w:lineRule="auto"/>
      <w:jc w:val="center"/>
      <w:rPr>
        <w:rFonts w:ascii="Ecofont Vera Sans" w:hAnsi="Ecofont Ver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DDF"/>
    <w:rsid w:val="00012A3F"/>
    <w:rsid w:val="000B6ECB"/>
    <w:rsid w:val="000B7BB2"/>
    <w:rsid w:val="001236C6"/>
    <w:rsid w:val="002B63E7"/>
    <w:rsid w:val="002E51D8"/>
    <w:rsid w:val="003C7303"/>
    <w:rsid w:val="0041336A"/>
    <w:rsid w:val="004E334E"/>
    <w:rsid w:val="005003FB"/>
    <w:rsid w:val="0054135D"/>
    <w:rsid w:val="005C4661"/>
    <w:rsid w:val="00704A46"/>
    <w:rsid w:val="0071681F"/>
    <w:rsid w:val="00851F2D"/>
    <w:rsid w:val="00893623"/>
    <w:rsid w:val="00925E19"/>
    <w:rsid w:val="009819B7"/>
    <w:rsid w:val="009A2266"/>
    <w:rsid w:val="00A009F3"/>
    <w:rsid w:val="00A41DDF"/>
    <w:rsid w:val="00AF7E88"/>
    <w:rsid w:val="00B160CE"/>
    <w:rsid w:val="00B24871"/>
    <w:rsid w:val="00B90BAC"/>
    <w:rsid w:val="00D66821"/>
    <w:rsid w:val="00DA1DB8"/>
    <w:rsid w:val="00DC076B"/>
    <w:rsid w:val="00E74973"/>
    <w:rsid w:val="00E96D2A"/>
    <w:rsid w:val="00EB2F3E"/>
    <w:rsid w:val="00ED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D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D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DD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41D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DD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D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DD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D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DD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41D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DD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1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DD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CC59-0005-4DA0-A4DE-A0D2B100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Jordana Plazza Bittar</dc:creator>
  <cp:lastModifiedBy>Licardino Siqueira Pires</cp:lastModifiedBy>
  <cp:revision>2</cp:revision>
  <dcterms:created xsi:type="dcterms:W3CDTF">2017-05-26T20:15:00Z</dcterms:created>
  <dcterms:modified xsi:type="dcterms:W3CDTF">2017-05-26T20:15:00Z</dcterms:modified>
</cp:coreProperties>
</file>